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CC9F" w14:textId="77777777" w:rsidR="001D46B9" w:rsidRPr="001D46B9" w:rsidRDefault="001D46B9" w:rsidP="005C7774">
      <w:pPr>
        <w:pStyle w:val="GR-SmHeadline"/>
      </w:pPr>
      <w:r w:rsidRPr="001D46B9">
        <w:t>Regenerative Agriculture: A Smart Path Forward for U.S. Farming</w:t>
      </w:r>
    </w:p>
    <w:p w14:paraId="7F27A256" w14:textId="77777777" w:rsidR="001D46B9" w:rsidRPr="00AD4F92" w:rsidRDefault="001D46B9" w:rsidP="007D557A">
      <w:pPr>
        <w:pStyle w:val="GR-Copy"/>
      </w:pPr>
      <w:r w:rsidRPr="00AD4F92">
        <w:t xml:space="preserve">Regenerative </w:t>
      </w:r>
      <w:r w:rsidRPr="007D557A">
        <w:t>agriculture</w:t>
      </w:r>
      <w:r w:rsidRPr="00AD4F92">
        <w:t xml:space="preserve"> is an evidence-based approach that improves soil health, enhances water efficiency, increases biodiversity and strengthens farm profitability. For the fresh produce industry, it offers a path to resilience amid rising costs and environmental pressures.</w:t>
      </w:r>
    </w:p>
    <w:p w14:paraId="2E8BAE63" w14:textId="014B0E0D" w:rsidR="001D46B9" w:rsidRPr="00AD4F92" w:rsidRDefault="000F102B" w:rsidP="001D46B9">
      <w:pPr>
        <w:pStyle w:val="GR-Copy"/>
      </w:pPr>
      <w:r>
        <w:br/>
      </w:r>
      <w:r w:rsidR="001D46B9" w:rsidRPr="00AD4F92">
        <w:t>These practices are already delivering measurable results. The International Fresh Produce Association (IFPA) is implementing real-world solutions for the industry — now Congress can help scale these efforts nationwide.</w:t>
      </w:r>
    </w:p>
    <w:p w14:paraId="3FADE102" w14:textId="74EEFF88" w:rsidR="001D46B9" w:rsidRPr="00367EEF" w:rsidRDefault="004D314E" w:rsidP="00367EEF">
      <w:pPr>
        <w:pStyle w:val="GR-SmHeadline"/>
      </w:pPr>
      <w:r w:rsidRPr="00367EE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2A3B7A" wp14:editId="2E797D37">
                <wp:simplePos x="0" y="0"/>
                <wp:positionH relativeFrom="margin">
                  <wp:posOffset>4267200</wp:posOffset>
                </wp:positionH>
                <wp:positionV relativeFrom="paragraph">
                  <wp:posOffset>394970</wp:posOffset>
                </wp:positionV>
                <wp:extent cx="2524125" cy="2105025"/>
                <wp:effectExtent l="76200" t="95250" r="66675" b="66675"/>
                <wp:wrapSquare wrapText="bothSides"/>
                <wp:docPr id="16469386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ACDCBDA" w14:textId="77777777" w:rsidR="001D46B9" w:rsidRDefault="001D46B9" w:rsidP="001D46B9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IFPA Regenerative Agriculture Definition: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“Regenerative agriculture is a holistic farming approach that aims to restore and enhance the natural recipients of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agro</w:t>
                            </w:r>
                            <w:proofErr w:type="spellEnd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-eco systems while supporting the long-term health and viability of agricultural businesses and communities. The foundation of this farming system is the integrated management of soil health, biodiversity, water resources, human health and climate.”</w:t>
                            </w:r>
                          </w:p>
                          <w:p w14:paraId="24124DDA" w14:textId="77777777" w:rsidR="001D46B9" w:rsidRDefault="001D46B9" w:rsidP="001D46B9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A3B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pt;margin-top:31.1pt;width:198.75pt;height:16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d5dQIAAP4EAAAOAAAAZHJzL2Uyb0RvYy54bWysVE1v1DAQvSPxHyzfaT66gTZqtiotRUhA&#10;EQVxdmxnY9XxGNu7Sfn1jJ10uxTEAZGD5bEnb2bevPHZ+TRospPOKzANLY5ySqThIJTZNPTrl+sX&#10;J5T4wIxgGoxs6L309Hz9/NnZaGtZQg9aSEcQxPh6tA3tQ7B1lnney4H5I7DS4GUHbmABTbfJhGMj&#10;og86K/P8ZTaCE9YBl97j6dV8SdcJv+skDzdd52UguqGYW0irS2sb12x9xuqNY7ZXfEmD/UMWA1MG&#10;g+6hrlhgZOvUb1CD4g48dOGIw5BB1ykuUw1YTZE/qea2Z1amWpAcb/c0+f8Hyz/ubu0nR8L0GiZs&#10;YCrC2/fA7zwxcNkzs5EXzsHYSyYwcBEpy0br6+XXSLWvfQRpxw8gsMlsGyABTZ0bIitYJ0F0bMD9&#10;nnQ5BcLxsKzKVVFWlHC8K4u8ytGIMVj98Lt1PryVMJC4aajDriZ4tnvvw+z64BKjedBKXCutk+E2&#10;7aV2ZMdQAdfpW9B/cdOGjA09rTD23yHy9P0JYlABpazV0NCTvROrI29vjEhCC0zpeY/VaRMjySRS&#10;rCMasEWI216MpNVb95mJhlY5glEiVKz8+KSYDVRwcVzNUQjTG5y91lHiIHxToU+6iURHzMjMnoBW&#10;M343c6dtz2ZWVhFnqWjxTvTvs0nWQaKp/bHjc+/D1E5YXpRBC+IehYB5pG7jwxBucOk0ILtcK0tJ&#10;D+7H07Poh5rGG0pGHMaG+u9b5iQl+p1B0Z0Wq1Wc3mSsqlclGu7wpj28YYYjVEMDJfP2MqSJj2wY&#10;uEBxdirJ5jHjRdI4ZKnW5UGIU3xoJ6/HZ2v9EwAA//8DAFBLAwQUAAYACAAAACEALpiTtd8AAAAL&#10;AQAADwAAAGRycy9kb3ducmV2LnhtbEyPzU7DMBCE70i8g7VI3KhTV01pGqeCop64QGjvbrwkAXsd&#10;xc4Pb497gtusZjT7Tb6frWEj9r51JGG5SIAhVU63VEs4fRwfHoH5oEgr4wgl/KCHfXF7k6tMu4ne&#10;cSxDzWIJ+UxJaELoMs591aBVfuE6pOh9ut6qEM++5rpXUyy3hoskSblVLcUPjerw0GD1XQ5WAr2+&#10;PXNzGs/Ty9dx3S6HUqThIOX93fy0AxZwDn9huOJHdCgi08UNpD0zEtKNiFtCFEIAuwaSdLsGdpGw&#10;2q42wIuc/99Q/AIAAP//AwBQSwECLQAUAAYACAAAACEAtoM4kv4AAADhAQAAEwAAAAAAAAAAAAAA&#10;AAAAAAAAW0NvbnRlbnRfVHlwZXNdLnhtbFBLAQItABQABgAIAAAAIQA4/SH/1gAAAJQBAAALAAAA&#10;AAAAAAAAAAAAAC8BAABfcmVscy8ucmVsc1BLAQItABQABgAIAAAAIQDFd4d5dQIAAP4EAAAOAAAA&#10;AAAAAAAAAAAAAC4CAABkcnMvZTJvRG9jLnhtbFBLAQItABQABgAIAAAAIQAumJO13wAAAAsBAAAP&#10;AAAAAAAAAAAAAAAAAM8EAABkcnMvZG93bnJldi54bWxQSwUGAAAAAAQABADzAAAA2wUAAAAA&#10;">
                <v:shadow on="t" color="black" opacity="26214f" origin=".5,.5" offset="-.74836mm,-.74836mm"/>
                <v:textbox>
                  <w:txbxContent>
                    <w:p w14:paraId="5ACDCBDA" w14:textId="77777777" w:rsidR="001D46B9" w:rsidRDefault="001D46B9" w:rsidP="001D46B9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IFPA Regenerative Agriculture Definition: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“Regenerative agriculture is a holistic farming approach that aims to restore and enhance the natural recipients of </w:t>
                      </w:r>
                      <w:proofErr w:type="spellStart"/>
                      <w:r>
                        <w:rPr>
                          <w:rFonts w:cs="Arial"/>
                          <w:sz w:val="22"/>
                          <w:szCs w:val="22"/>
                        </w:rPr>
                        <w:t>agro</w:t>
                      </w:r>
                      <w:proofErr w:type="spellEnd"/>
                      <w:r>
                        <w:rPr>
                          <w:rFonts w:cs="Arial"/>
                          <w:sz w:val="22"/>
                          <w:szCs w:val="22"/>
                        </w:rPr>
                        <w:t>-eco systems while supporting the long-term health and viability of agricultural businesses and communities. The foundation of this farming system is the integrated management of soil health, biodiversity, water resources, human health and climate.”</w:t>
                      </w:r>
                    </w:p>
                    <w:p w14:paraId="24124DDA" w14:textId="77777777" w:rsidR="001D46B9" w:rsidRDefault="001D46B9" w:rsidP="001D46B9"/>
                  </w:txbxContent>
                </v:textbox>
                <w10:wrap type="square" anchorx="margin"/>
              </v:shape>
            </w:pict>
          </mc:Fallback>
        </mc:AlternateContent>
      </w:r>
      <w:r w:rsidR="00F607A2" w:rsidRPr="00367EEF">
        <w:br/>
      </w:r>
      <w:r w:rsidR="001D46B9" w:rsidRPr="00367EEF">
        <w:t>Practical, Flexible, Grower-Led</w:t>
      </w:r>
    </w:p>
    <w:p w14:paraId="0C9DE9CA" w14:textId="3D62088E" w:rsidR="001D46B9" w:rsidRPr="00AD4F92" w:rsidRDefault="001D46B9" w:rsidP="001D46B9">
      <w:pPr>
        <w:pStyle w:val="GR-Copy"/>
      </w:pPr>
      <w:r w:rsidRPr="00AD4F92">
        <w:t>IFPA supports regenerative agriculture as an outcomes-based framework grounded in these three goals:</w:t>
      </w:r>
    </w:p>
    <w:p w14:paraId="211E989E" w14:textId="77777777" w:rsidR="001D46B9" w:rsidRPr="00AD4F92" w:rsidRDefault="001D46B9" w:rsidP="00B74144">
      <w:pPr>
        <w:pStyle w:val="GR-Copy"/>
        <w:numPr>
          <w:ilvl w:val="0"/>
          <w:numId w:val="8"/>
        </w:numPr>
      </w:pPr>
      <w:r w:rsidRPr="00AD4F92">
        <w:t>Restore and enhance agroecosystem resilience.</w:t>
      </w:r>
    </w:p>
    <w:p w14:paraId="2DD19BA6" w14:textId="77777777" w:rsidR="001D46B9" w:rsidRPr="00AD4F92" w:rsidRDefault="001D46B9" w:rsidP="00B74144">
      <w:pPr>
        <w:pStyle w:val="GR-Copy"/>
        <w:numPr>
          <w:ilvl w:val="0"/>
          <w:numId w:val="8"/>
        </w:numPr>
      </w:pPr>
      <w:r w:rsidRPr="00AD4F92">
        <w:t>Support long-term viability of farms.</w:t>
      </w:r>
    </w:p>
    <w:p w14:paraId="5D4CF643" w14:textId="77777777" w:rsidR="001D46B9" w:rsidRPr="00AD4F92" w:rsidRDefault="001D46B9" w:rsidP="00B74144">
      <w:pPr>
        <w:pStyle w:val="GR-Copy"/>
        <w:numPr>
          <w:ilvl w:val="0"/>
          <w:numId w:val="8"/>
        </w:numPr>
      </w:pPr>
      <w:r w:rsidRPr="00AD4F92">
        <w:t xml:space="preserve">Integrate management of soil health, biodiversity, water use, human health, and adaptation to varying environmental and climatic conditions. </w:t>
      </w:r>
    </w:p>
    <w:p w14:paraId="6C9042B3" w14:textId="0642589D" w:rsidR="001D46B9" w:rsidRPr="00AD4F92" w:rsidRDefault="00B74144" w:rsidP="00B74144">
      <w:pPr>
        <w:pStyle w:val="GR-SmHeadline"/>
      </w:pPr>
      <w:r>
        <w:br/>
      </w:r>
      <w:r w:rsidR="001D46B9" w:rsidRPr="00AD4F92">
        <w:t xml:space="preserve">Proven Benefits </w:t>
      </w:r>
    </w:p>
    <w:p w14:paraId="755BCF79" w14:textId="77777777" w:rsidR="001D46B9" w:rsidRPr="00AD4F92" w:rsidRDefault="001D46B9" w:rsidP="00C7138A">
      <w:pPr>
        <w:pStyle w:val="GR-Copy"/>
        <w:numPr>
          <w:ilvl w:val="0"/>
          <w:numId w:val="9"/>
        </w:numPr>
      </w:pPr>
      <w:r w:rsidRPr="00AD4F92">
        <w:t>Investment in regenerative agriculture is not only environmentally prudent, but also economically smart.</w:t>
      </w:r>
    </w:p>
    <w:p w14:paraId="5E335E4D" w14:textId="77777777" w:rsidR="001D46B9" w:rsidRPr="00AD4F92" w:rsidRDefault="001D46B9" w:rsidP="00C7138A">
      <w:pPr>
        <w:pStyle w:val="GR-Copy"/>
        <w:numPr>
          <w:ilvl w:val="0"/>
          <w:numId w:val="9"/>
        </w:numPr>
      </w:pPr>
      <w:r w:rsidRPr="00AD4F92">
        <w:t xml:space="preserve">After introducing regenerative practices to its organic production, IFPA member </w:t>
      </w:r>
      <w:hyperlink r:id="rId10" w:history="1">
        <w:r w:rsidRPr="00AD4F92">
          <w:rPr>
            <w:rStyle w:val="Hyperlink"/>
          </w:rPr>
          <w:t>Cardoza &amp; Cardoza Farming Company</w:t>
        </w:r>
      </w:hyperlink>
      <w:r w:rsidRPr="00AD4F92">
        <w:t xml:space="preserve"> reduced pesticide costs and saw record-breaking yields each year.</w:t>
      </w:r>
    </w:p>
    <w:p w14:paraId="73B587DC" w14:textId="77777777" w:rsidR="001D46B9" w:rsidRPr="00AD4F92" w:rsidRDefault="001D46B9" w:rsidP="00C7138A">
      <w:pPr>
        <w:pStyle w:val="GR-Copy"/>
        <w:numPr>
          <w:ilvl w:val="0"/>
          <w:numId w:val="9"/>
        </w:numPr>
      </w:pPr>
      <w:r w:rsidRPr="00AD4F92">
        <w:t xml:space="preserve">IFPA member </w:t>
      </w:r>
      <w:hyperlink r:id="rId11" w:history="1">
        <w:r w:rsidRPr="00AD4F92">
          <w:rPr>
            <w:rStyle w:val="Hyperlink"/>
          </w:rPr>
          <w:t>CMI Orchards</w:t>
        </w:r>
      </w:hyperlink>
      <w:r w:rsidRPr="00AD4F92">
        <w:t xml:space="preserve"> (which harvests 8 million cartons of apples and other tree fruit each year) created a circular regenerative system that improves soil health and repurposes waste.</w:t>
      </w:r>
    </w:p>
    <w:p w14:paraId="162A059A" w14:textId="69BEE933" w:rsidR="001D46B9" w:rsidRPr="00AD4F92" w:rsidRDefault="001D46B9" w:rsidP="00C7138A">
      <w:pPr>
        <w:pStyle w:val="GR-Copy"/>
        <w:numPr>
          <w:ilvl w:val="0"/>
          <w:numId w:val="9"/>
        </w:numPr>
      </w:pPr>
      <w:r w:rsidRPr="00AD4F92">
        <w:t xml:space="preserve">Research shows 78% higher profits on regenerative farms despite lower </w:t>
      </w:r>
      <w:proofErr w:type="gramStart"/>
      <w:r w:rsidRPr="00AD4F92">
        <w:t>yields.*</w:t>
      </w:r>
      <w:proofErr w:type="gramEnd"/>
      <w:r w:rsidR="005C7774">
        <w:br/>
      </w:r>
    </w:p>
    <w:p w14:paraId="609BAF11" w14:textId="77777777" w:rsidR="00FE05BD" w:rsidRDefault="00FE05BD" w:rsidP="00752FE1">
      <w:pPr>
        <w:pStyle w:val="GR-SmHeadline"/>
      </w:pPr>
    </w:p>
    <w:p w14:paraId="173B3D78" w14:textId="77777777" w:rsidR="00FE05BD" w:rsidRDefault="00FE05BD" w:rsidP="00752FE1">
      <w:pPr>
        <w:pStyle w:val="GR-SmHeadline"/>
      </w:pPr>
    </w:p>
    <w:p w14:paraId="65259007" w14:textId="4F980D18" w:rsidR="001D46B9" w:rsidRPr="00AD4F92" w:rsidRDefault="001D46B9" w:rsidP="00752FE1">
      <w:pPr>
        <w:pStyle w:val="GR-SmHeadline"/>
      </w:pPr>
      <w:r w:rsidRPr="00AD4F92">
        <w:t xml:space="preserve">The Potential Challenge for Regenerative: A Fragmented Future </w:t>
      </w:r>
    </w:p>
    <w:p w14:paraId="6D134763" w14:textId="77777777" w:rsidR="001D46B9" w:rsidRPr="00AD4F92" w:rsidRDefault="001D46B9" w:rsidP="001D46B9">
      <w:pPr>
        <w:pStyle w:val="GR-Copy"/>
      </w:pPr>
      <w:r w:rsidRPr="00AD4F92">
        <w:lastRenderedPageBreak/>
        <w:t>Fresh produce growers already navigate a patchwork of more than 150 overlapping sustainability certifications — many driven by varying retailer requirements. The result:</w:t>
      </w:r>
    </w:p>
    <w:p w14:paraId="17A6A1EB" w14:textId="77777777" w:rsidR="001D46B9" w:rsidRPr="00AD4F92" w:rsidRDefault="001D46B9" w:rsidP="00CC77A1">
      <w:pPr>
        <w:pStyle w:val="GR-Copy"/>
        <w:numPr>
          <w:ilvl w:val="0"/>
          <w:numId w:val="10"/>
        </w:numPr>
      </w:pPr>
      <w:r w:rsidRPr="00AD4F92">
        <w:t>3 to 7 separate audits per grower each year</w:t>
      </w:r>
    </w:p>
    <w:p w14:paraId="6E9E7F12" w14:textId="77777777" w:rsidR="001D46B9" w:rsidRPr="00AD4F92" w:rsidRDefault="001D46B9" w:rsidP="00CC77A1">
      <w:pPr>
        <w:pStyle w:val="GR-Copy"/>
        <w:numPr>
          <w:ilvl w:val="0"/>
          <w:numId w:val="10"/>
        </w:numPr>
      </w:pPr>
      <w:r w:rsidRPr="00AD4F92">
        <w:t>$2,000 to $10,000+ per audit cycle</w:t>
      </w:r>
    </w:p>
    <w:p w14:paraId="517DD96A" w14:textId="2993D445" w:rsidR="001D46B9" w:rsidRPr="00AD4F92" w:rsidRDefault="001D46B9" w:rsidP="001D46B9">
      <w:pPr>
        <w:pStyle w:val="GR-Copy"/>
      </w:pPr>
      <w:r w:rsidRPr="00AD4F92">
        <w:t>As we look toward the future for regenerative, without consistent definitions or a national framework, growers could face duplicative costs, confusion and barriers to scaling climate-smart practices.</w:t>
      </w:r>
      <w:r w:rsidR="0034320C">
        <w:br/>
      </w:r>
    </w:p>
    <w:p w14:paraId="640A855B" w14:textId="77777777" w:rsidR="001D46B9" w:rsidRPr="00AD4F92" w:rsidRDefault="001D46B9" w:rsidP="00773392">
      <w:pPr>
        <w:pStyle w:val="GR-SmHeadline"/>
      </w:pPr>
      <w:r w:rsidRPr="00AD4F92">
        <w:t>Legislative Solutions</w:t>
      </w:r>
    </w:p>
    <w:p w14:paraId="02AAE9B3" w14:textId="605FEA27" w:rsidR="001D46B9" w:rsidRPr="00AD4F92" w:rsidRDefault="001D46B9" w:rsidP="00852D4A">
      <w:pPr>
        <w:pStyle w:val="GR-Copy"/>
        <w:numPr>
          <w:ilvl w:val="0"/>
          <w:numId w:val="11"/>
        </w:numPr>
      </w:pPr>
      <w:r w:rsidRPr="00AD4F92">
        <w:t>To address interest in the promise of regenerative practices, establish a national regenerative benchmark. Ensure flexibility by avoiding a one-size-fits-all USDA label. This could be achieved through:</w:t>
      </w:r>
    </w:p>
    <w:p w14:paraId="71D4323E" w14:textId="77777777" w:rsidR="001D46B9" w:rsidRPr="00AD4F92" w:rsidRDefault="001D46B9" w:rsidP="00C634AC">
      <w:pPr>
        <w:pStyle w:val="GR-Copy"/>
        <w:numPr>
          <w:ilvl w:val="0"/>
          <w:numId w:val="12"/>
        </w:numPr>
      </w:pPr>
      <w:r w:rsidRPr="00AD4F92">
        <w:t>A USDA-managed benchmarking process or a transparent public-private approach that recognizes credible third-party standards while supporting flexibility and innovation.</w:t>
      </w:r>
    </w:p>
    <w:p w14:paraId="749879E5" w14:textId="77777777" w:rsidR="001D46B9" w:rsidRPr="00AD4F92" w:rsidRDefault="001D46B9" w:rsidP="001D46B9">
      <w:pPr>
        <w:pStyle w:val="GR-Copy"/>
      </w:pPr>
    </w:p>
    <w:p w14:paraId="18894340" w14:textId="4D8098D1" w:rsidR="001D46B9" w:rsidRPr="00AD4F92" w:rsidRDefault="001D46B9" w:rsidP="00852D4A">
      <w:pPr>
        <w:pStyle w:val="GR-Copy"/>
        <w:numPr>
          <w:ilvl w:val="0"/>
          <w:numId w:val="11"/>
        </w:numPr>
      </w:pPr>
      <w:r w:rsidRPr="00AD4F92">
        <w:t>Enable and incentivize transitions to regenerative farming by:</w:t>
      </w:r>
    </w:p>
    <w:p w14:paraId="64E5A7DE" w14:textId="77777777" w:rsidR="001D46B9" w:rsidRPr="00AD4F92" w:rsidRDefault="001D46B9" w:rsidP="001D46B9">
      <w:pPr>
        <w:pStyle w:val="GR-Copy"/>
      </w:pPr>
      <w:r w:rsidRPr="00AD4F92">
        <w:t>Expanding USDA Natural Resources Conservation Service (NRCS) programs that currently provide technical assistance.</w:t>
      </w:r>
    </w:p>
    <w:p w14:paraId="5965E3A3" w14:textId="77777777" w:rsidR="001D46B9" w:rsidRPr="00AD4F92" w:rsidRDefault="001D46B9" w:rsidP="00C634AC">
      <w:pPr>
        <w:pStyle w:val="GR-Copy"/>
        <w:numPr>
          <w:ilvl w:val="0"/>
          <w:numId w:val="12"/>
        </w:numPr>
      </w:pPr>
      <w:r w:rsidRPr="00AD4F92">
        <w:t>Offering transitional funding or assistance through grants.</w:t>
      </w:r>
    </w:p>
    <w:p w14:paraId="34DAC4F3" w14:textId="77777777" w:rsidR="001D46B9" w:rsidRPr="00AD4F92" w:rsidRDefault="001D46B9" w:rsidP="001D46B9">
      <w:pPr>
        <w:pStyle w:val="GR-Copy"/>
      </w:pPr>
    </w:p>
    <w:p w14:paraId="47C264DC" w14:textId="2CEFEA26" w:rsidR="001D46B9" w:rsidRPr="00AD4F92" w:rsidRDefault="001D46B9" w:rsidP="00802FE9">
      <w:pPr>
        <w:pStyle w:val="GR-Copy"/>
        <w:numPr>
          <w:ilvl w:val="0"/>
          <w:numId w:val="11"/>
        </w:numPr>
      </w:pPr>
      <w:r w:rsidRPr="00AD4F92">
        <w:t xml:space="preserve">Focus on outcomes, not methods: </w:t>
      </w:r>
    </w:p>
    <w:p w14:paraId="07A429D0" w14:textId="77777777" w:rsidR="001D46B9" w:rsidRPr="00AD4F92" w:rsidRDefault="001D46B9" w:rsidP="00006FEE">
      <w:pPr>
        <w:pStyle w:val="GR-Copy"/>
        <w:numPr>
          <w:ilvl w:val="0"/>
          <w:numId w:val="12"/>
        </w:numPr>
      </w:pPr>
      <w:r w:rsidRPr="00AD4F92">
        <w:t>Federal programs must focus on measurable outcomes like soil health, biodiversity, water efficiency, and profitability.</w:t>
      </w:r>
    </w:p>
    <w:p w14:paraId="3FE4B487" w14:textId="77777777" w:rsidR="001D46B9" w:rsidRPr="00AD4F92" w:rsidRDefault="001D46B9" w:rsidP="00006FEE">
      <w:pPr>
        <w:pStyle w:val="GR-Copy"/>
        <w:numPr>
          <w:ilvl w:val="0"/>
          <w:numId w:val="12"/>
        </w:numPr>
      </w:pPr>
      <w:r w:rsidRPr="00AD4F92">
        <w:t xml:space="preserve">Regenerative and organic share common goals but are not interchangeable; regenerative must remain outcomes-based and adaptable, allowing innovation beyond traditional practice constraints. </w:t>
      </w:r>
    </w:p>
    <w:p w14:paraId="43EE8013" w14:textId="77777777" w:rsidR="001D46B9" w:rsidRPr="00AD4F92" w:rsidRDefault="001D46B9" w:rsidP="001D46B9">
      <w:pPr>
        <w:pStyle w:val="GR-Copy"/>
      </w:pPr>
    </w:p>
    <w:p w14:paraId="2FB43B5C" w14:textId="77777777" w:rsidR="001D46B9" w:rsidRPr="00AD4F92" w:rsidRDefault="001D46B9" w:rsidP="001D46B9">
      <w:pPr>
        <w:pStyle w:val="GR-Copy"/>
      </w:pPr>
      <w:r w:rsidRPr="00520368">
        <w:rPr>
          <w:rFonts w:ascii="Poppins SemiBold" w:hAnsi="Poppins SemiBold" w:cs="Poppins SemiBold"/>
          <w:b/>
          <w:bCs/>
        </w:rPr>
        <w:t>Contact:</w:t>
      </w:r>
      <w:r w:rsidRPr="00AD4F92">
        <w:t xml:space="preserve"> Sara Neagu-Reed, IFPA Director, Production &amp; Environmental Policy,  </w:t>
      </w:r>
      <w:hyperlink r:id="rId12" w:history="1">
        <w:r w:rsidRPr="00AD4F92">
          <w:rPr>
            <w:rStyle w:val="Hyperlink"/>
          </w:rPr>
          <w:t>sneagu@freshproduce.com</w:t>
        </w:r>
      </w:hyperlink>
    </w:p>
    <w:p w14:paraId="37777CAC" w14:textId="39935AF3" w:rsidR="004C032E" w:rsidRPr="001F7819" w:rsidRDefault="001D46B9" w:rsidP="001F7819">
      <w:pPr>
        <w:pStyle w:val="GR-Copy"/>
      </w:pPr>
      <w:r w:rsidRPr="00AD4F92">
        <w:rPr>
          <w:i/>
          <w:iCs/>
        </w:rPr>
        <w:t xml:space="preserve">* LaCanne, C. E., &amp; Lundgren, J. G. (2018). </w:t>
      </w:r>
      <w:hyperlink r:id="rId13" w:history="1">
        <w:r w:rsidRPr="00AD4F92">
          <w:rPr>
            <w:rStyle w:val="Hyperlink"/>
            <w:i/>
            <w:iCs/>
          </w:rPr>
          <w:t>Regenerative agriculture: Merging farming and natural resource conservation profitability</w:t>
        </w:r>
      </w:hyperlink>
      <w:r w:rsidRPr="00AD4F92">
        <w:rPr>
          <w:i/>
          <w:iCs/>
        </w:rPr>
        <w:t xml:space="preserve">. </w:t>
      </w:r>
      <w:proofErr w:type="spellStart"/>
      <w:r w:rsidRPr="00AD4F92">
        <w:rPr>
          <w:i/>
          <w:iCs/>
        </w:rPr>
        <w:t>PeerJ</w:t>
      </w:r>
      <w:proofErr w:type="spellEnd"/>
      <w:r w:rsidRPr="00AD4F92">
        <w:rPr>
          <w:i/>
          <w:iCs/>
        </w:rPr>
        <w:t xml:space="preserve">, 6, e4428. </w:t>
      </w:r>
      <w:hyperlink r:id="rId14" w:history="1">
        <w:r w:rsidRPr="00AD4F92">
          <w:rPr>
            <w:rStyle w:val="Hyperlink"/>
            <w:i/>
            <w:iCs/>
          </w:rPr>
          <w:t>https://doi.org/10.7717/peerj.4428</w:t>
        </w:r>
      </w:hyperlink>
    </w:p>
    <w:sectPr w:rsidR="004C032E" w:rsidRPr="001F7819" w:rsidSect="007F41B6">
      <w:headerReference w:type="even" r:id="rId15"/>
      <w:headerReference w:type="default" r:id="rId16"/>
      <w:headerReference w:type="first" r:id="rId17"/>
      <w:pgSz w:w="12240" w:h="15840"/>
      <w:pgMar w:top="32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D9C0" w14:textId="77777777" w:rsidR="007F41B6" w:rsidRDefault="007F41B6" w:rsidP="00F21D10">
      <w:r>
        <w:separator/>
      </w:r>
    </w:p>
  </w:endnote>
  <w:endnote w:type="continuationSeparator" w:id="0">
    <w:p w14:paraId="2B39D7C4" w14:textId="77777777" w:rsidR="007F41B6" w:rsidRDefault="007F41B6" w:rsidP="00F2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58FC5" w14:textId="77777777" w:rsidR="007F41B6" w:rsidRDefault="007F41B6" w:rsidP="00F21D10">
      <w:r>
        <w:separator/>
      </w:r>
    </w:p>
  </w:footnote>
  <w:footnote w:type="continuationSeparator" w:id="0">
    <w:p w14:paraId="0F7578C5" w14:textId="77777777" w:rsidR="007F41B6" w:rsidRDefault="007F41B6" w:rsidP="00F21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DBF2" w14:textId="77777777" w:rsidR="00F21D10" w:rsidRDefault="00962397">
    <w:pPr>
      <w:pStyle w:val="Header"/>
    </w:pPr>
    <w:r>
      <w:rPr>
        <w:noProof/>
      </w:rPr>
      <w:pict w14:anchorId="76059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612.25pt;height:11in;z-index:-251657216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1" o:title="2021-IFPA-Letterhead-v3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DFBD" w14:textId="77777777" w:rsidR="00F21D10" w:rsidRDefault="004E395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D5FABB" wp14:editId="7F9E192D">
          <wp:simplePos x="0" y="0"/>
          <wp:positionH relativeFrom="margin">
            <wp:posOffset>-457200</wp:posOffset>
          </wp:positionH>
          <wp:positionV relativeFrom="margin">
            <wp:posOffset>-2057400</wp:posOffset>
          </wp:positionV>
          <wp:extent cx="7807569" cy="10103912"/>
          <wp:effectExtent l="0" t="0" r="3175" b="5715"/>
          <wp:wrapNone/>
          <wp:docPr id="69184461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844611" name="Picture 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07569" cy="101039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1639" w14:textId="77777777" w:rsidR="00F21D10" w:rsidRDefault="00962397">
    <w:pPr>
      <w:pStyle w:val="Header"/>
    </w:pPr>
    <w:r>
      <w:rPr>
        <w:noProof/>
      </w:rPr>
      <w:pict w14:anchorId="5F00AB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612.25pt;height:11in;z-index:-251656192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1" o:title="2021-IFPA-Letterhead-v3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395"/>
    <w:multiLevelType w:val="multilevel"/>
    <w:tmpl w:val="0D5C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26C12"/>
    <w:multiLevelType w:val="hybridMultilevel"/>
    <w:tmpl w:val="5B08C7B4"/>
    <w:lvl w:ilvl="0" w:tplc="04090001">
      <w:start w:val="1"/>
      <w:numFmt w:val="bullet"/>
      <w:lvlText w:val=""/>
      <w:lvlJc w:val="left"/>
      <w:pPr>
        <w:ind w:left="16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9" w:hanging="360"/>
      </w:pPr>
      <w:rPr>
        <w:rFonts w:ascii="Wingdings" w:hAnsi="Wingdings" w:hint="default"/>
      </w:rPr>
    </w:lvl>
  </w:abstractNum>
  <w:abstractNum w:abstractNumId="2" w15:restartNumberingAfterBreak="0">
    <w:nsid w:val="146D3D4B"/>
    <w:multiLevelType w:val="hybridMultilevel"/>
    <w:tmpl w:val="611C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90792"/>
    <w:multiLevelType w:val="hybridMultilevel"/>
    <w:tmpl w:val="3628FF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F354C0"/>
    <w:multiLevelType w:val="hybridMultilevel"/>
    <w:tmpl w:val="DCA8D2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1B7954"/>
    <w:multiLevelType w:val="hybridMultilevel"/>
    <w:tmpl w:val="A7DC5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879A0"/>
    <w:multiLevelType w:val="hybridMultilevel"/>
    <w:tmpl w:val="64440012"/>
    <w:lvl w:ilvl="0" w:tplc="04090001">
      <w:start w:val="1"/>
      <w:numFmt w:val="bullet"/>
      <w:lvlText w:val=""/>
      <w:lvlJc w:val="left"/>
      <w:pPr>
        <w:ind w:left="16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9" w:hanging="360"/>
      </w:pPr>
      <w:rPr>
        <w:rFonts w:ascii="Wingdings" w:hAnsi="Wingdings" w:hint="default"/>
      </w:rPr>
    </w:lvl>
  </w:abstractNum>
  <w:abstractNum w:abstractNumId="7" w15:restartNumberingAfterBreak="0">
    <w:nsid w:val="5EC5045F"/>
    <w:multiLevelType w:val="hybridMultilevel"/>
    <w:tmpl w:val="07F6A46E"/>
    <w:lvl w:ilvl="0" w:tplc="F46A48C4">
      <w:start w:val="1"/>
      <w:numFmt w:val="decimal"/>
      <w:lvlText w:val="%1."/>
      <w:lvlJc w:val="left"/>
      <w:pPr>
        <w:ind w:left="1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9" w:hanging="360"/>
      </w:pPr>
    </w:lvl>
    <w:lvl w:ilvl="2" w:tplc="0409001B" w:tentative="1">
      <w:start w:val="1"/>
      <w:numFmt w:val="lowerRoman"/>
      <w:lvlText w:val="%3."/>
      <w:lvlJc w:val="right"/>
      <w:pPr>
        <w:ind w:left="2779" w:hanging="180"/>
      </w:pPr>
    </w:lvl>
    <w:lvl w:ilvl="3" w:tplc="0409000F" w:tentative="1">
      <w:start w:val="1"/>
      <w:numFmt w:val="decimal"/>
      <w:lvlText w:val="%4."/>
      <w:lvlJc w:val="left"/>
      <w:pPr>
        <w:ind w:left="3499" w:hanging="360"/>
      </w:pPr>
    </w:lvl>
    <w:lvl w:ilvl="4" w:tplc="04090019" w:tentative="1">
      <w:start w:val="1"/>
      <w:numFmt w:val="lowerLetter"/>
      <w:lvlText w:val="%5."/>
      <w:lvlJc w:val="left"/>
      <w:pPr>
        <w:ind w:left="4219" w:hanging="360"/>
      </w:pPr>
    </w:lvl>
    <w:lvl w:ilvl="5" w:tplc="0409001B" w:tentative="1">
      <w:start w:val="1"/>
      <w:numFmt w:val="lowerRoman"/>
      <w:lvlText w:val="%6."/>
      <w:lvlJc w:val="right"/>
      <w:pPr>
        <w:ind w:left="4939" w:hanging="180"/>
      </w:pPr>
    </w:lvl>
    <w:lvl w:ilvl="6" w:tplc="0409000F" w:tentative="1">
      <w:start w:val="1"/>
      <w:numFmt w:val="decimal"/>
      <w:lvlText w:val="%7."/>
      <w:lvlJc w:val="left"/>
      <w:pPr>
        <w:ind w:left="5659" w:hanging="360"/>
      </w:pPr>
    </w:lvl>
    <w:lvl w:ilvl="7" w:tplc="04090019" w:tentative="1">
      <w:start w:val="1"/>
      <w:numFmt w:val="lowerLetter"/>
      <w:lvlText w:val="%8."/>
      <w:lvlJc w:val="left"/>
      <w:pPr>
        <w:ind w:left="6379" w:hanging="360"/>
      </w:pPr>
    </w:lvl>
    <w:lvl w:ilvl="8" w:tplc="0409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8" w15:restartNumberingAfterBreak="0">
    <w:nsid w:val="63224A90"/>
    <w:multiLevelType w:val="hybridMultilevel"/>
    <w:tmpl w:val="27E28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550B7"/>
    <w:multiLevelType w:val="hybridMultilevel"/>
    <w:tmpl w:val="A8185280"/>
    <w:lvl w:ilvl="0" w:tplc="04090001">
      <w:start w:val="1"/>
      <w:numFmt w:val="bullet"/>
      <w:lvlText w:val=""/>
      <w:lvlJc w:val="left"/>
      <w:pPr>
        <w:ind w:left="16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9" w:hanging="360"/>
      </w:pPr>
      <w:rPr>
        <w:rFonts w:ascii="Wingdings" w:hAnsi="Wingdings" w:hint="default"/>
      </w:rPr>
    </w:lvl>
  </w:abstractNum>
  <w:abstractNum w:abstractNumId="10" w15:restartNumberingAfterBreak="0">
    <w:nsid w:val="748C5E43"/>
    <w:multiLevelType w:val="hybridMultilevel"/>
    <w:tmpl w:val="FFE82E0E"/>
    <w:lvl w:ilvl="0" w:tplc="04090001">
      <w:start w:val="1"/>
      <w:numFmt w:val="bullet"/>
      <w:lvlText w:val=""/>
      <w:lvlJc w:val="left"/>
      <w:pPr>
        <w:ind w:left="16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9" w:hanging="360"/>
      </w:pPr>
      <w:rPr>
        <w:rFonts w:ascii="Wingdings" w:hAnsi="Wingdings" w:hint="default"/>
      </w:rPr>
    </w:lvl>
  </w:abstractNum>
  <w:num w:numId="1" w16cid:durableId="1997880981">
    <w:abstractNumId w:val="2"/>
  </w:num>
  <w:num w:numId="2" w16cid:durableId="1161585361">
    <w:abstractNumId w:val="5"/>
  </w:num>
  <w:num w:numId="3" w16cid:durableId="473373509">
    <w:abstractNumId w:val="0"/>
  </w:num>
  <w:num w:numId="4" w16cid:durableId="2086448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25656011">
    <w:abstractNumId w:val="4"/>
  </w:num>
  <w:num w:numId="6" w16cid:durableId="1199657915">
    <w:abstractNumId w:val="3"/>
  </w:num>
  <w:num w:numId="7" w16cid:durableId="530148774">
    <w:abstractNumId w:val="8"/>
  </w:num>
  <w:num w:numId="8" w16cid:durableId="1591424880">
    <w:abstractNumId w:val="10"/>
  </w:num>
  <w:num w:numId="9" w16cid:durableId="1918854961">
    <w:abstractNumId w:val="1"/>
  </w:num>
  <w:num w:numId="10" w16cid:durableId="1397389871">
    <w:abstractNumId w:val="6"/>
  </w:num>
  <w:num w:numId="11" w16cid:durableId="1589118174">
    <w:abstractNumId w:val="7"/>
  </w:num>
  <w:num w:numId="12" w16cid:durableId="1239751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10"/>
    <w:rsid w:val="00006FEE"/>
    <w:rsid w:val="000B4AC0"/>
    <w:rsid w:val="000F102B"/>
    <w:rsid w:val="001D46B9"/>
    <w:rsid w:val="001F7819"/>
    <w:rsid w:val="002343AD"/>
    <w:rsid w:val="002C2002"/>
    <w:rsid w:val="0034320C"/>
    <w:rsid w:val="00367EEF"/>
    <w:rsid w:val="00474D7E"/>
    <w:rsid w:val="00494D8C"/>
    <w:rsid w:val="004C032E"/>
    <w:rsid w:val="004D314E"/>
    <w:rsid w:val="004E3953"/>
    <w:rsid w:val="004F464B"/>
    <w:rsid w:val="00520368"/>
    <w:rsid w:val="0054107E"/>
    <w:rsid w:val="005C7774"/>
    <w:rsid w:val="006114C1"/>
    <w:rsid w:val="006C0F4A"/>
    <w:rsid w:val="0072600D"/>
    <w:rsid w:val="00752FE1"/>
    <w:rsid w:val="00773392"/>
    <w:rsid w:val="007D557A"/>
    <w:rsid w:val="007F41B6"/>
    <w:rsid w:val="00802FE9"/>
    <w:rsid w:val="00852D4A"/>
    <w:rsid w:val="008863A1"/>
    <w:rsid w:val="008B1E45"/>
    <w:rsid w:val="008C12F3"/>
    <w:rsid w:val="009B7C4B"/>
    <w:rsid w:val="009E0814"/>
    <w:rsid w:val="00B73669"/>
    <w:rsid w:val="00B74144"/>
    <w:rsid w:val="00B93231"/>
    <w:rsid w:val="00BB385E"/>
    <w:rsid w:val="00C634AC"/>
    <w:rsid w:val="00C7138A"/>
    <w:rsid w:val="00CC77A1"/>
    <w:rsid w:val="00D232DA"/>
    <w:rsid w:val="00D80DEF"/>
    <w:rsid w:val="00EC0439"/>
    <w:rsid w:val="00F21D10"/>
    <w:rsid w:val="00F607A2"/>
    <w:rsid w:val="00FE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583814"/>
  <w14:defaultImageDpi w14:val="300"/>
  <w15:docId w15:val="{B5C81C4C-B364-1E4E-9519-D890BF39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6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77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77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D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D10"/>
  </w:style>
  <w:style w:type="paragraph" w:styleId="Footer">
    <w:name w:val="footer"/>
    <w:basedOn w:val="Normal"/>
    <w:link w:val="FooterChar"/>
    <w:uiPriority w:val="99"/>
    <w:unhideWhenUsed/>
    <w:rsid w:val="00F21D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D10"/>
  </w:style>
  <w:style w:type="paragraph" w:styleId="BalloonText">
    <w:name w:val="Balloon Text"/>
    <w:basedOn w:val="Normal"/>
    <w:link w:val="BalloonTextChar"/>
    <w:uiPriority w:val="99"/>
    <w:semiHidden/>
    <w:unhideWhenUsed/>
    <w:rsid w:val="00F21D1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D10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73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36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7366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GR-TITLE">
    <w:name w:val="GR-TITLE"/>
    <w:basedOn w:val="Title"/>
    <w:qFormat/>
    <w:rsid w:val="00B73669"/>
    <w:pPr>
      <w:ind w:left="979"/>
    </w:pPr>
    <w:rPr>
      <w:rFonts w:ascii="Poppins" w:hAnsi="Poppins" w:cs="Poppins"/>
      <w:b/>
      <w:bCs/>
      <w:color w:val="E89E37"/>
      <w:sz w:val="52"/>
      <w:szCs w:val="52"/>
    </w:rPr>
  </w:style>
  <w:style w:type="paragraph" w:customStyle="1" w:styleId="GR-Copy">
    <w:name w:val="GR-Copy"/>
    <w:basedOn w:val="Normal"/>
    <w:qFormat/>
    <w:rsid w:val="007D557A"/>
    <w:pPr>
      <w:ind w:left="979"/>
    </w:pPr>
    <w:rPr>
      <w:rFonts w:ascii="Poppins" w:hAnsi="Poppins" w:cs="Poppins"/>
      <w:color w:val="3C393C"/>
      <w:sz w:val="20"/>
      <w:szCs w:val="21"/>
    </w:rPr>
  </w:style>
  <w:style w:type="paragraph" w:customStyle="1" w:styleId="GR-SmHeadline">
    <w:name w:val="GR-Sm Headline"/>
    <w:basedOn w:val="GR-TITLE"/>
    <w:qFormat/>
    <w:rsid w:val="00494D8C"/>
    <w:rPr>
      <w:rFonts w:ascii="Poppins SemiBold" w:hAnsi="Poppins SemiBold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1D46B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C77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5C777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5C777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mc.ncbi.nlm.nih.gov/articles/PMC5831153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neagu@freshproduce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reshproduce.com/resources/sustainability/case-studies/cmi-orchard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freshproduce.com/resources/sustainability/case-studies/cardoza-farming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7717/peerj.442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5e3f5-29b7-4c01-801d-8d15b2e7d6e1">
      <Terms xmlns="http://schemas.microsoft.com/office/infopath/2007/PartnerControls"/>
    </lcf76f155ced4ddcb4097134ff3c332f>
    <TaxCatchAll xmlns="ec66a617-3c50-4226-ad6f-ba16446c74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71F38B851E2488C42AD10B689C168" ma:contentTypeVersion="19" ma:contentTypeDescription="Create a new document." ma:contentTypeScope="" ma:versionID="12e94ebd6468dfe6f178916754ef12ad">
  <xsd:schema xmlns:xsd="http://www.w3.org/2001/XMLSchema" xmlns:xs="http://www.w3.org/2001/XMLSchema" xmlns:p="http://schemas.microsoft.com/office/2006/metadata/properties" xmlns:ns2="e935e3f5-29b7-4c01-801d-8d15b2e7d6e1" xmlns:ns3="ec66a617-3c50-4226-ad6f-ba16446c7475" targetNamespace="http://schemas.microsoft.com/office/2006/metadata/properties" ma:root="true" ma:fieldsID="847ca78efc26ecff9451256c11607bf6" ns2:_="" ns3:_="">
    <xsd:import namespace="e935e3f5-29b7-4c01-801d-8d15b2e7d6e1"/>
    <xsd:import namespace="ec66a617-3c50-4226-ad6f-ba16446c7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5e3f5-29b7-4c01-801d-8d15b2e7d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4ec46d-f55c-485e-875d-815c2a48f0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6a617-3c50-4226-ad6f-ba16446c7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709911-1f79-4dd6-bde9-0d19b9f39249}" ma:internalName="TaxCatchAll" ma:showField="CatchAllData" ma:web="ec66a617-3c50-4226-ad6f-ba16446c7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B5A61-D244-4144-88FB-C7D572E3EEC7}">
  <ds:schemaRefs>
    <ds:schemaRef ds:uri="http://schemas.microsoft.com/office/2006/metadata/properties"/>
    <ds:schemaRef ds:uri="http://schemas.microsoft.com/office/infopath/2007/PartnerControls"/>
    <ds:schemaRef ds:uri="e935e3f5-29b7-4c01-801d-8d15b2e7d6e1"/>
    <ds:schemaRef ds:uri="ec66a617-3c50-4226-ad6f-ba16446c7475"/>
  </ds:schemaRefs>
</ds:datastoreItem>
</file>

<file path=customXml/itemProps2.xml><?xml version="1.0" encoding="utf-8"?>
<ds:datastoreItem xmlns:ds="http://schemas.openxmlformats.org/officeDocument/2006/customXml" ds:itemID="{4C7ED788-84FE-4E8E-8F85-0B6B35E34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5e3f5-29b7-4c01-801d-8d15b2e7d6e1"/>
    <ds:schemaRef ds:uri="ec66a617-3c50-4226-ad6f-ba16446c7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6B2A20-8162-461A-9EBD-92C6948CCF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Letter &amp; Line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Bauman</dc:creator>
  <cp:keywords/>
  <dc:description/>
  <cp:lastModifiedBy>Katie Bloome</cp:lastModifiedBy>
  <cp:revision>2</cp:revision>
  <dcterms:created xsi:type="dcterms:W3CDTF">2025-08-11T21:35:00Z</dcterms:created>
  <dcterms:modified xsi:type="dcterms:W3CDTF">2025-08-11T21:35:00Z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0x0101004EE71F38B851E2488C42AD10B689C168</vt:lpwstr>
  </property>
  <property fmtid="{D5CDD505-2E9C-101B-9397-08002B2CF9AE}" pid="3" name="MediaServiceImageTags">
    <vt:lpwstr/>
  </property>
</Properties>
</file>